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BB7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F59900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附件：</w:t>
      </w:r>
    </w:p>
    <w:p w14:paraId="0FE68249">
      <w:pPr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采购综合</w:t>
      </w:r>
      <w:r>
        <w:rPr>
          <w:rFonts w:hint="eastAsia"/>
          <w:b/>
          <w:sz w:val="36"/>
          <w:szCs w:val="36"/>
        </w:rPr>
        <w:t>评分</w:t>
      </w:r>
      <w:r>
        <w:rPr>
          <w:rFonts w:hint="eastAsia"/>
          <w:b/>
          <w:sz w:val="36"/>
          <w:szCs w:val="36"/>
          <w:lang w:val="en-US" w:eastAsia="zh-CN"/>
        </w:rPr>
        <w:t>表</w:t>
      </w:r>
    </w:p>
    <w:p w14:paraId="04D876A3">
      <w:pPr>
        <w:jc w:val="both"/>
        <w:rPr>
          <w:rFonts w:hint="default" w:eastAsiaTheme="minor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 xml:space="preserve">投标企业：                                 项目编号：   </w:t>
      </w:r>
    </w:p>
    <w:tbl>
      <w:tblPr>
        <w:tblStyle w:val="3"/>
        <w:tblpPr w:leftFromText="180" w:rightFromText="180" w:vertAnchor="text" w:horzAnchor="page" w:tblpX="1154" w:tblpY="192"/>
        <w:tblW w:w="9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035"/>
        <w:gridCol w:w="525"/>
        <w:gridCol w:w="5505"/>
        <w:gridCol w:w="1110"/>
        <w:gridCol w:w="1110"/>
      </w:tblGrid>
      <w:tr w14:paraId="080A0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18" w:type="dxa"/>
            <w:gridSpan w:val="2"/>
            <w:shd w:val="clear" w:color="auto" w:fill="auto"/>
            <w:noWrap w:val="0"/>
            <w:vAlign w:val="center"/>
          </w:tcPr>
          <w:p w14:paraId="0C14066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评  审  因  素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475A032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分值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05C5D065">
            <w:pPr>
              <w:ind w:firstLine="1536" w:firstLineChars="85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评     分     细     则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3142F652">
            <w:pPr>
              <w:jc w:val="center"/>
              <w:rPr>
                <w:rFonts w:hint="default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评分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6CB74D85">
            <w:pPr>
              <w:jc w:val="center"/>
              <w:rPr>
                <w:rFonts w:hint="default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评委签名</w:t>
            </w:r>
          </w:p>
        </w:tc>
      </w:tr>
      <w:tr w14:paraId="55EA4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518" w:type="dxa"/>
            <w:gridSpan w:val="2"/>
            <w:shd w:val="clear" w:color="auto" w:fill="auto"/>
            <w:noWrap w:val="0"/>
            <w:vAlign w:val="center"/>
          </w:tcPr>
          <w:p w14:paraId="16754F66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投 标 报 价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535B7224">
            <w:pPr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4E10F767">
            <w:pPr>
              <w:ind w:left="-2" w:leftChars="-1" w:firstLine="360" w:firstLineChars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满足招标文件要求且投标价格最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低</w:t>
            </w:r>
            <w:r>
              <w:rPr>
                <w:sz w:val="18"/>
                <w:szCs w:val="18"/>
              </w:rPr>
              <w:t>的投标报价为评标基准价，其价格分为总分值，其他投标人的价格分按以下公示计算：</w:t>
            </w:r>
          </w:p>
          <w:p w14:paraId="6474D976">
            <w:pPr>
              <w:ind w:left="-2" w:leftChars="-1" w:firstLine="361" w:firstLineChars="200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b/>
                <w:sz w:val="18"/>
                <w:szCs w:val="18"/>
              </w:rPr>
              <w:t>投标报价得分＝〔评标基准价/投标报价〕×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413F9DD8">
            <w:pPr>
              <w:ind w:left="-2" w:leftChars="-1" w:firstLine="361" w:firstLineChars="200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22E02555">
            <w:pPr>
              <w:ind w:left="-2" w:leftChars="-1" w:firstLine="361" w:firstLineChars="200"/>
              <w:rPr>
                <w:b/>
                <w:sz w:val="18"/>
                <w:szCs w:val="18"/>
              </w:rPr>
            </w:pPr>
          </w:p>
        </w:tc>
      </w:tr>
      <w:tr w14:paraId="75AFA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483" w:type="dxa"/>
            <w:vMerge w:val="restart"/>
            <w:shd w:val="clear" w:color="auto" w:fill="auto"/>
            <w:noWrap w:val="0"/>
            <w:textDirection w:val="tbRlV"/>
            <w:vAlign w:val="center"/>
          </w:tcPr>
          <w:p w14:paraId="34348664">
            <w:pPr>
              <w:ind w:left="113" w:right="113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技术部分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1C2559F0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 xml:space="preserve">专业技术服务团队 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307F1E66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38DB0EC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投标人实验室检验人员配备应符合国家相关要求，包括但不限于检验师，人员数量、职称、专业可满足检测需求。</w:t>
            </w:r>
          </w:p>
          <w:p w14:paraId="3EAA389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项目负责人具备检验或病理相关高级职称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每提供一名得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此项最高得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分；</w:t>
            </w:r>
          </w:p>
          <w:p w14:paraId="336BDE1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具备检验技师资格证技术人员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每提供一名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初级检验技师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人员加0.5分，提供1名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级检验技师职称加1分，此项最高得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 xml:space="preserve">分； </w:t>
            </w:r>
          </w:p>
          <w:p w14:paraId="16FF0E1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</w:pPr>
            <w:bookmarkStart w:id="0" w:name="OLE_LINK3"/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注：同一人获得多个职称的只按最高级别职称资格证评审得分。</w:t>
            </w:r>
          </w:p>
          <w:p w14:paraId="3D602A8C">
            <w:pPr>
              <w:keepNext w:val="0"/>
              <w:keepLines w:val="0"/>
              <w:pageBreakBefore w:val="0"/>
              <w:widowControl/>
              <w:tabs>
                <w:tab w:val="left" w:pos="525"/>
                <w:tab w:val="left" w:pos="840"/>
                <w:tab w:val="left" w:pos="945"/>
                <w:tab w:val="left" w:pos="11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证明材料：提供相关人员一览表、人员证书复印件并加盖投标人公章，提供项目团队成员近半年至今任意1个月社保证明（窗口打印件或网上截图均可）或劳动关系证明，否则不得分。</w:t>
            </w:r>
            <w:bookmarkEnd w:id="0"/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548DE2F3">
            <w:pPr>
              <w:tabs>
                <w:tab w:val="left" w:pos="525"/>
                <w:tab w:val="left" w:pos="840"/>
                <w:tab w:val="left" w:pos="945"/>
                <w:tab w:val="left" w:pos="1155"/>
              </w:tabs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64DA3D81">
            <w:pPr>
              <w:tabs>
                <w:tab w:val="left" w:pos="525"/>
                <w:tab w:val="left" w:pos="840"/>
                <w:tab w:val="left" w:pos="945"/>
                <w:tab w:val="left" w:pos="1155"/>
              </w:tabs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</w:tr>
      <w:tr w14:paraId="67B17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483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000C01C8">
            <w:pPr>
              <w:ind w:left="113" w:right="113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6427351D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 xml:space="preserve">标本管理与物流服务方案 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04F9A277">
            <w:pPr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0F15AB0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投标人符合政府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及行业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对于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医疗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冷链物流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相关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的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规范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管理要求，具有完善的冷链物流运输能力：</w:t>
            </w:r>
          </w:p>
          <w:p w14:paraId="4DA3A0E1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投标人具备CNAS认可的第三方机构认定的服务地点所在区域货物运输条件鉴定书，每提供一种标本类别得2.5分，最高得10分。</w:t>
            </w:r>
          </w:p>
          <w:p w14:paraId="00C6F81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2）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投标人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具备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服务地点所在区域市级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级及以上相关行政部门颁发的可感染人类的高致病性病原微生物菌（毒）种或样本准运相关资质，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每种菌（毒）或样本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得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最高得4分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。</w:t>
            </w:r>
          </w:p>
          <w:p w14:paraId="6B0BC15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3）投标人或投标人所属母公司具有冷链物流运输资质得10分；委托第三方冷链物流机构得5分。</w:t>
            </w:r>
          </w:p>
          <w:p w14:paraId="3F41182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证明材料：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提供相关证明文件复印件并加盖供应商公章，不提供的不得分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如委托第三方冷链物流机构需提供委托协议等相关证明复印件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。</w:t>
            </w:r>
          </w:p>
          <w:p w14:paraId="34E4BE7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投标人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需提供详细的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标本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运输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收取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服务方案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包含具备协助采购人常规类检验项目检测应急服务方案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，每个评审因素最高得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本项最高得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分。具体评审因素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细则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如下：</w:t>
            </w:r>
          </w:p>
          <w:p w14:paraId="0357C96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36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细化的评审因素共以下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项：①专员专车的配置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收标本，标本信息及收取规范流程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；②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具备上午收样，下午出结果的能力。方案内需体现实验室及医疗冷链运输的情况，含设备、人员排班等，冷链运输应具备省内运输资质。</w:t>
            </w:r>
          </w:p>
          <w:p w14:paraId="275B7304">
            <w:pPr>
              <w:keepNext w:val="0"/>
              <w:keepLines w:val="0"/>
              <w:pageBreakBefore w:val="0"/>
              <w:widowControl/>
              <w:tabs>
                <w:tab w:val="left" w:pos="525"/>
                <w:tab w:val="left" w:pos="840"/>
                <w:tab w:val="left" w:pos="945"/>
                <w:tab w:val="left" w:pos="11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每个评审因素的评审标准为：</w:t>
            </w:r>
            <w:bookmarkStart w:id="1" w:name="OLE_LINK5"/>
            <w:bookmarkStart w:id="2" w:name="OLE_LINK4"/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（1）方案完全满足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项目需求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且有优于项目要求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内容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详细完整，科学合理，方法可行性强的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得3分；（2）方案完全满足项目要求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内容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较为详细案完整，较为科学合理，实施方法可行性较强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的得2分；（3）方案部分不满足项目要求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，实施方法可行性一般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的得1分；</w:t>
            </w:r>
            <w:bookmarkEnd w:id="1"/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（4）方案完全不满足项目要求或未提供的不得分。</w:t>
            </w:r>
            <w:bookmarkEnd w:id="2"/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73D08C61">
            <w:pPr>
              <w:tabs>
                <w:tab w:val="left" w:pos="525"/>
                <w:tab w:val="left" w:pos="840"/>
                <w:tab w:val="left" w:pos="945"/>
                <w:tab w:val="left" w:pos="1155"/>
              </w:tabs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55A1FC20">
            <w:pPr>
              <w:tabs>
                <w:tab w:val="left" w:pos="525"/>
                <w:tab w:val="left" w:pos="840"/>
                <w:tab w:val="left" w:pos="945"/>
                <w:tab w:val="left" w:pos="1155"/>
              </w:tabs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</w:tr>
      <w:tr w14:paraId="02FBF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483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3AE8C7B0">
            <w:pPr>
              <w:ind w:left="113" w:right="113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6286AFBB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 xml:space="preserve">实验室质控保障服务方案 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0E4F9D52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3851621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根据各投标人为本项目提供的“实验室质控保障服务方案”与采购需求响应进行评审，每个评审因素最高得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分，本项最高得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具体评审因素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细则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如下：</w:t>
            </w:r>
          </w:p>
          <w:p w14:paraId="11BF1A3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5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细化的评审因素共以下2项：①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实验室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人员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及设备的投入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配置方案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；②项目运营能力、质量控制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方案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 xml:space="preserve">； </w:t>
            </w:r>
          </w:p>
          <w:p w14:paraId="20C9F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每个评审因素的评审标准为：（1）方案完全满足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项目需求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且有优于项目要求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内容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详细完整，科学合理，方法可行性强的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得3分；（2）方案完全满足项目要求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内容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较为详细案完整，较为科学合理，实施方法可行性较强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的得2分；（3）方案部分不满足项目要求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，实施方法可行性一般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的得1分；（4）方案完全不满足或未提供的不得分。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0FB8B8E4">
            <w:pPr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380B78EB">
            <w:pPr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</w:tr>
      <w:tr w14:paraId="6FD68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483" w:type="dxa"/>
            <w:shd w:val="clear" w:color="auto" w:fill="auto"/>
            <w:noWrap w:val="0"/>
            <w:textDirection w:val="tbRlV"/>
            <w:vAlign w:val="center"/>
          </w:tcPr>
          <w:p w14:paraId="490CD968">
            <w:pPr>
              <w:ind w:left="113" w:right="113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 w:val="0"/>
            <w:vAlign w:val="top"/>
          </w:tcPr>
          <w:p w14:paraId="4F0178E5">
            <w:pPr>
              <w:pStyle w:val="5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 xml:space="preserve">检验信息化服务能力 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136C1B4D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505" w:type="dxa"/>
            <w:shd w:val="clear"/>
            <w:noWrap w:val="0"/>
            <w:vAlign w:val="top"/>
          </w:tcPr>
          <w:p w14:paraId="20167BD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投标人具备信息化服务能力，能够保证医疗信息安全，具备医院信息系统双向对接能力，提供合作有效期内系统接口开发商合作合同，每提供1份得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u w:val="single"/>
                <w:lang w:val="en-US" w:eastAsia="zh-CN"/>
              </w:rPr>
              <w:t>0.5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分，最高分得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分，无接口合同为0分。</w:t>
            </w:r>
          </w:p>
          <w:p w14:paraId="672F757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Han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 xml:space="preserve"> 注：提供相关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合同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扫描件并加盖公章，非投标人主体所有资质不得分，不提供不得分。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450019F7">
            <w:pPr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3E23D570">
            <w:pPr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</w:tr>
      <w:tr w14:paraId="1D53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483" w:type="dxa"/>
            <w:shd w:val="clear" w:color="auto" w:fill="auto"/>
            <w:noWrap w:val="0"/>
            <w:textDirection w:val="tbRlV"/>
            <w:vAlign w:val="center"/>
          </w:tcPr>
          <w:p w14:paraId="75AF58CF">
            <w:pPr>
              <w:ind w:left="113" w:right="113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 w:val="0"/>
            <w:vAlign w:val="top"/>
          </w:tcPr>
          <w:p w14:paraId="023D1655">
            <w:pPr>
              <w:pStyle w:val="5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 xml:space="preserve">培训服务能力 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7ADCFD4C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505" w:type="dxa"/>
            <w:shd w:val="clear"/>
            <w:noWrap w:val="0"/>
            <w:vAlign w:val="top"/>
          </w:tcPr>
          <w:p w14:paraId="2B10142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投标人定期组织开展相关的医学培训活动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方案，每个评审因素最高得1分，本项最高得2分。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具体评审因素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细则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 xml:space="preserve">如下： </w:t>
            </w:r>
          </w:p>
          <w:p w14:paraId="00890C9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细化的评审因素共以下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项：①样本采集培训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 xml:space="preserve">②提供采购人到实验室进修（包括但不限于ISO15189知识培训）的机会，以提高采购人医务工作人员的专业技能； </w:t>
            </w:r>
          </w:p>
          <w:p w14:paraId="19BF399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Hans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每个评审因素的评审标准为：（1）方案完全满足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项目需求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且有优于项目要求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内容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详细完整，科学合</w:t>
            </w:r>
            <w:bookmarkStart w:id="3" w:name="_GoBack"/>
            <w:bookmarkEnd w:id="3"/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理，方法可行性强的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得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分；（2）方案完全满足项目要求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内容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较为详细案完整，较为科学合理，实施方法可行性较强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的得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分；（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）方案完全不满足项目要求或未提供的不得分。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14FCA311">
            <w:pPr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48FB7F0F">
            <w:pPr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</w:tr>
      <w:tr w14:paraId="253C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483" w:type="dxa"/>
            <w:shd w:val="clear" w:color="auto" w:fill="auto"/>
            <w:noWrap w:val="0"/>
            <w:textDirection w:val="tbRlV"/>
            <w:vAlign w:val="center"/>
          </w:tcPr>
          <w:p w14:paraId="1BC2B997">
            <w:pPr>
              <w:ind w:left="113" w:right="113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 w:val="0"/>
            <w:vAlign w:val="top"/>
          </w:tcPr>
          <w:p w14:paraId="27678835">
            <w:pPr>
              <w:pStyle w:val="5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 xml:space="preserve">售后服务能力 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5EBC5389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505" w:type="dxa"/>
            <w:shd w:val="clear"/>
            <w:noWrap w:val="0"/>
            <w:vAlign w:val="top"/>
          </w:tcPr>
          <w:p w14:paraId="74CA4E7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1.投标人需提供相关售后服务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方案，每个评审因素最高得2分，本项最高得4分。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具体评审因素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细则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如下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： 一、细化的评审因素共以下2项：①售后服务（含结果查询）咨询机制；②售后医疗纠纷与投诉处置预案； 二、每个评审因素的评审标准为：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（1）方案完全满足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项目需求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且有优于项目要求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内容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详细完整，科学合理，方法可行性强的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得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分；（2）方案完全满足项目要求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内容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较为详细案完整，较为科学合理，实施方法可行性较强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的得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分；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（3）方案完全不满足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项目要求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或未提供的不得分。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1F457E18">
            <w:pPr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344FEAE8">
            <w:pPr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</w:tr>
      <w:tr w14:paraId="02147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83" w:type="dxa"/>
            <w:vMerge w:val="restart"/>
            <w:shd w:val="clear" w:color="auto" w:fill="auto"/>
            <w:noWrap w:val="0"/>
            <w:textDirection w:val="tbRlV"/>
            <w:vAlign w:val="center"/>
          </w:tcPr>
          <w:p w14:paraId="1072E1CB">
            <w:pPr>
              <w:ind w:right="113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商务部分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</w:p>
        </w:tc>
        <w:tc>
          <w:tcPr>
            <w:tcW w:w="1035" w:type="dxa"/>
            <w:shd w:val="clear" w:color="auto" w:fill="auto"/>
            <w:noWrap w:val="0"/>
            <w:vAlign w:val="top"/>
          </w:tcPr>
          <w:p w14:paraId="636D6FDA">
            <w:pPr>
              <w:pStyle w:val="5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 xml:space="preserve">实验室技术与质量能力保障 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1BAA00FA">
            <w:pPr>
              <w:jc w:val="center"/>
              <w:rPr>
                <w:rFonts w:hint="default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05" w:type="dxa"/>
            <w:shd w:val="clear" w:color="auto" w:fill="auto"/>
            <w:noWrap w:val="0"/>
            <w:vAlign w:val="top"/>
          </w:tcPr>
          <w:p w14:paraId="1ED167E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投标人具备从事医学检测实验室资质，实验室有完善的质量管理体系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.</w:t>
            </w:r>
          </w:p>
          <w:p w14:paraId="02FF4C06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投标人需通过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 xml:space="preserve"> ISO15189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实验室认证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，ISO15189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通过认证项目数≥60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得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认证项目数≥55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得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认证项目数≥50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得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认证项目数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&lt;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得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不通过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 xml:space="preserve">SO15189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实验室认证不得分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（注：提供ISO15189实验室认可证书、项目清单、检验能力范围官网截图等证明材料并加盖公章，非投标人主体所有资质不得分，不提供不得分）</w:t>
            </w:r>
          </w:p>
          <w:p w14:paraId="4E5B1E5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投标人202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通过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国家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或省级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卫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生健康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委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临床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检验室间质评合格项目数量情况，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≥140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得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≥100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得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≥60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得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，&lt;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60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得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。</w:t>
            </w:r>
          </w:p>
          <w:p w14:paraId="36E20E2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0" w:leftChars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注：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提供证书复印件，否则不得分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7EC33F25">
            <w:pPr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1E3BDFFE">
            <w:pPr>
              <w:ind w:firstLine="360" w:firstLineChars="200"/>
              <w:rPr>
                <w:color w:val="000000"/>
                <w:sz w:val="18"/>
                <w:szCs w:val="18"/>
              </w:rPr>
            </w:pPr>
          </w:p>
        </w:tc>
      </w:tr>
      <w:tr w14:paraId="3B3C4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483" w:type="dxa"/>
            <w:vMerge w:val="continue"/>
            <w:shd w:val="clear" w:color="auto" w:fill="auto"/>
            <w:noWrap w:val="0"/>
            <w:textDirection w:val="tbRlV"/>
            <w:vAlign w:val="center"/>
          </w:tcPr>
          <w:p w14:paraId="2B140941">
            <w:pPr>
              <w:ind w:left="113" w:right="113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 w:val="0"/>
            <w:vAlign w:val="top"/>
          </w:tcPr>
          <w:p w14:paraId="62AB54B6">
            <w:pPr>
              <w:pStyle w:val="5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 xml:space="preserve">同类项目经验 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29F89E49"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505" w:type="dxa"/>
            <w:shd w:val="clear" w:color="auto" w:fill="auto"/>
            <w:noWrap w:val="0"/>
            <w:vAlign w:val="top"/>
          </w:tcPr>
          <w:p w14:paraId="688B52B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投标人近三年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2022年10月01日至今）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具有同类项目业绩，每提供一份有效合同得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分，最高得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 xml:space="preserve">分。 </w:t>
            </w:r>
          </w:p>
          <w:p w14:paraId="166329F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证明材料：自开标日合同仍处于服务期内（过期合同不计分）同一家单位的合同不重复计分。需提供合同扫描件并加盖投标人公章作为证明材料，不提供的不得分。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558B73EF">
            <w:pPr>
              <w:ind w:firstLine="360" w:firstLineChars="200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5611C237">
            <w:pPr>
              <w:ind w:firstLine="360" w:firstLineChars="200"/>
              <w:rPr>
                <w:sz w:val="18"/>
                <w:szCs w:val="18"/>
              </w:rPr>
            </w:pPr>
          </w:p>
        </w:tc>
      </w:tr>
      <w:tr w14:paraId="6C846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18" w:type="dxa"/>
            <w:gridSpan w:val="2"/>
            <w:shd w:val="clear" w:color="auto" w:fill="auto"/>
            <w:noWrap w:val="0"/>
            <w:vAlign w:val="center"/>
          </w:tcPr>
          <w:p w14:paraId="474DDB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        计</w:t>
            </w:r>
          </w:p>
        </w:tc>
        <w:tc>
          <w:tcPr>
            <w:tcW w:w="525" w:type="dxa"/>
            <w:shd w:val="clear" w:color="auto" w:fill="auto"/>
            <w:noWrap w:val="0"/>
            <w:vAlign w:val="center"/>
          </w:tcPr>
          <w:p w14:paraId="66353EA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5505" w:type="dxa"/>
            <w:shd w:val="clear" w:color="auto" w:fill="auto"/>
            <w:noWrap w:val="0"/>
            <w:vAlign w:val="center"/>
          </w:tcPr>
          <w:p w14:paraId="7FF7A088">
            <w:pPr>
              <w:tabs>
                <w:tab w:val="left" w:pos="945"/>
              </w:tabs>
              <w:ind w:firstLine="361" w:firstLineChars="20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投标人最后得分保存两位小数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7274DFAE">
            <w:pPr>
              <w:tabs>
                <w:tab w:val="left" w:pos="945"/>
              </w:tabs>
              <w:ind w:firstLine="361" w:firstLineChars="200"/>
              <w:rPr>
                <w:b/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781A530F">
            <w:pPr>
              <w:tabs>
                <w:tab w:val="left" w:pos="945"/>
              </w:tabs>
              <w:ind w:firstLine="361" w:firstLineChars="200"/>
              <w:rPr>
                <w:b/>
                <w:sz w:val="18"/>
                <w:szCs w:val="18"/>
              </w:rPr>
            </w:pPr>
          </w:p>
        </w:tc>
      </w:tr>
    </w:tbl>
    <w:p w14:paraId="441B276C">
      <w:pPr>
        <w:jc w:val="both"/>
        <w:rPr>
          <w:rFonts w:hint="eastAsia"/>
          <w:b/>
          <w:sz w:val="24"/>
          <w:szCs w:val="24"/>
          <w:lang w:val="en-US" w:eastAsia="zh-CN"/>
        </w:rPr>
      </w:pPr>
    </w:p>
    <w:p w14:paraId="199C3A10">
      <w:pPr>
        <w:ind w:firstLine="5060" w:firstLineChars="2100"/>
        <w:jc w:val="both"/>
      </w:pPr>
      <w:r>
        <w:rPr>
          <w:rFonts w:hint="eastAsia"/>
          <w:b/>
          <w:sz w:val="24"/>
          <w:szCs w:val="24"/>
          <w:lang w:val="en-US" w:eastAsia="zh-CN"/>
        </w:rPr>
        <w:t>评分时间：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563AE5"/>
    <w:multiLevelType w:val="singleLevel"/>
    <w:tmpl w:val="84563AE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62E4E6A"/>
    <w:multiLevelType w:val="singleLevel"/>
    <w:tmpl w:val="962E4E6A"/>
    <w:lvl w:ilvl="0" w:tentative="0">
      <w:start w:val="1"/>
      <w:numFmt w:val="chineseCounting"/>
      <w:suff w:val="nothing"/>
      <w:lvlText w:val="%1、"/>
      <w:lvlJc w:val="left"/>
      <w:pPr>
        <w:ind w:left="105" w:leftChars="0" w:firstLine="0" w:firstLineChars="0"/>
      </w:pPr>
      <w:rPr>
        <w:rFonts w:hint="eastAsia"/>
      </w:rPr>
    </w:lvl>
  </w:abstractNum>
  <w:abstractNum w:abstractNumId="2">
    <w:nsid w:val="97472DC2"/>
    <w:multiLevelType w:val="singleLevel"/>
    <w:tmpl w:val="97472DC2"/>
    <w:lvl w:ilvl="0" w:tentative="0">
      <w:start w:val="1"/>
      <w:numFmt w:val="chineseCounting"/>
      <w:suff w:val="nothing"/>
      <w:lvlText w:val="%1、"/>
      <w:lvlJc w:val="left"/>
      <w:pPr>
        <w:ind w:left="105" w:leftChars="0" w:firstLine="0" w:firstLineChars="0"/>
      </w:pPr>
      <w:rPr>
        <w:rFonts w:hint="eastAsia"/>
      </w:rPr>
    </w:lvl>
  </w:abstractNum>
  <w:abstractNum w:abstractNumId="3">
    <w:nsid w:val="9C32D0D8"/>
    <w:multiLevelType w:val="singleLevel"/>
    <w:tmpl w:val="9C32D0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AD50F8CA"/>
    <w:multiLevelType w:val="singleLevel"/>
    <w:tmpl w:val="AD50F8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FAAD3A8"/>
    <w:multiLevelType w:val="singleLevel"/>
    <w:tmpl w:val="3FAAD3A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6073A225"/>
    <w:multiLevelType w:val="singleLevel"/>
    <w:tmpl w:val="6073A225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5YTMyZGM0Zjk0N2JhODg1ZjljOGEyNGQwZDlkMGUifQ=="/>
    <w:docVar w:name="KSO_WPS_MARK_KEY" w:val="51544156-44bf-43a1-b6f4-cc2b91d58083"/>
  </w:docVars>
  <w:rsids>
    <w:rsidRoot w:val="02973B47"/>
    <w:rsid w:val="003A0914"/>
    <w:rsid w:val="02973B47"/>
    <w:rsid w:val="04347C0E"/>
    <w:rsid w:val="068C5C42"/>
    <w:rsid w:val="0F80444A"/>
    <w:rsid w:val="14DD234B"/>
    <w:rsid w:val="27D8263D"/>
    <w:rsid w:val="2FF41FDE"/>
    <w:rsid w:val="31103AFB"/>
    <w:rsid w:val="406D5BC1"/>
    <w:rsid w:val="55256612"/>
    <w:rsid w:val="568C1A97"/>
    <w:rsid w:val="5A766616"/>
    <w:rsid w:val="5F3A4613"/>
    <w:rsid w:val="64CF0FC0"/>
    <w:rsid w:val="76A6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1495</Words>
  <Characters>1532</Characters>
  <Lines>0</Lines>
  <Paragraphs>0</Paragraphs>
  <TotalTime>18</TotalTime>
  <ScaleCrop>false</ScaleCrop>
  <LinksUpToDate>false</LinksUpToDate>
  <CharactersWithSpaces>1629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2024-11-11T00:41:00Z</dcterms:created>
  <dc:creator>林志雄</dc:creator>
  <cp:lastModifiedBy>符燕</cp:lastModifiedBy>
  <dcterms:modified xsi:type="dcterms:W3CDTF">2025-12-15T08:40:29Z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6B57AD1871AF42339DBFA76923C6F8DD_13</vt:lpwstr>
  </property>
  <property fmtid="{D5CDD505-2E9C-101B-9397-08002B2CF9AE}" pid="4" name="KSOTemplateDocerSaveRecord">
    <vt:lpwstr>eyJoZGlkIjoiYTIwYzlmOWY0NTI2ZGNkNjg3NjY0YTNlYjlhZjIyODYiLCJ1c2VySWQiOiIxNzMyMTk0ODMyIn0=</vt:lpwstr>
  </property>
</Properties>
</file>