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16F81">
      <w:pPr>
        <w:jc w:val="both"/>
        <w:rPr>
          <w:rFonts w:hint="default"/>
          <w:sz w:val="32"/>
          <w:szCs w:val="32"/>
          <w:lang w:val="en-US" w:eastAsia="zh-CN"/>
        </w:rPr>
      </w:pPr>
      <w:r>
        <w:rPr>
          <w:rFonts w:hint="eastAsia"/>
          <w:sz w:val="32"/>
          <w:szCs w:val="32"/>
          <w:lang w:val="en-US" w:eastAsia="zh-CN"/>
        </w:rPr>
        <w:t>附件：9</w:t>
      </w:r>
    </w:p>
    <w:p w14:paraId="3B5FBE2B">
      <w:pPr>
        <w:jc w:val="center"/>
        <w:rPr>
          <w:rFonts w:hint="eastAsia"/>
          <w:b/>
          <w:bCs/>
          <w:sz w:val="32"/>
          <w:szCs w:val="32"/>
          <w:lang w:val="en-US" w:eastAsia="zh-CN"/>
        </w:rPr>
      </w:pPr>
      <w:r>
        <w:rPr>
          <w:rFonts w:hint="eastAsia"/>
          <w:b/>
          <w:bCs/>
          <w:sz w:val="32"/>
          <w:szCs w:val="32"/>
        </w:rPr>
        <w:t>粪便常规仪医用耗材试</w:t>
      </w:r>
      <w:bookmarkStart w:id="0" w:name="_GoBack"/>
      <w:bookmarkEnd w:id="0"/>
      <w:r>
        <w:rPr>
          <w:rFonts w:hint="eastAsia"/>
          <w:b/>
          <w:bCs/>
          <w:sz w:val="32"/>
          <w:szCs w:val="32"/>
        </w:rPr>
        <w:t>剂</w:t>
      </w:r>
      <w:r>
        <w:rPr>
          <w:rFonts w:hint="eastAsia"/>
          <w:b/>
          <w:bCs/>
          <w:sz w:val="32"/>
          <w:szCs w:val="32"/>
          <w:lang w:val="en-US" w:eastAsia="zh-CN"/>
        </w:rPr>
        <w:t>参数</w:t>
      </w:r>
    </w:p>
    <w:p w14:paraId="5DA5A73C">
      <w:pPr>
        <w:pStyle w:val="5"/>
        <w:numPr>
          <w:ilvl w:val="0"/>
          <w:numId w:val="0"/>
        </w:numPr>
        <w:snapToGrid w:val="0"/>
        <w:ind w:leftChars="0"/>
        <w:rPr>
          <w:rFonts w:ascii="微软雅黑" w:hAnsi="微软雅黑" w:eastAsia="微软雅黑"/>
          <w:spacing w:val="0"/>
          <w:sz w:val="24"/>
          <w:szCs w:val="24"/>
        </w:rPr>
      </w:pPr>
      <w:r>
        <w:rPr>
          <w:rFonts w:hint="eastAsia" w:ascii="微软雅黑" w:hAnsi="微软雅黑" w:eastAsia="微软雅黑"/>
          <w:spacing w:val="0"/>
          <w:sz w:val="24"/>
          <w:szCs w:val="24"/>
          <w:lang w:val="en-US" w:eastAsia="zh-CN"/>
        </w:rPr>
        <w:t>一、主要</w:t>
      </w:r>
      <w:r>
        <w:rPr>
          <w:rFonts w:hint="eastAsia" w:ascii="微软雅黑" w:hAnsi="微软雅黑" w:eastAsia="微软雅黑"/>
          <w:spacing w:val="0"/>
          <w:sz w:val="24"/>
          <w:szCs w:val="24"/>
        </w:rPr>
        <w:t>性能</w:t>
      </w:r>
    </w:p>
    <w:p w14:paraId="5BB63267">
      <w:pPr>
        <w:widowControl/>
        <w:ind w:firstLine="480" w:firstLineChars="200"/>
        <w:rPr>
          <w:rFonts w:hint="eastAsia" w:ascii="宋体" w:hAnsi="宋体" w:eastAsia="宋体" w:cs="宋体"/>
          <w:i w:val="0"/>
          <w:iCs w:val="0"/>
          <w:caps w:val="0"/>
          <w:spacing w:val="0"/>
          <w:kern w:val="0"/>
          <w:sz w:val="24"/>
          <w:szCs w:val="24"/>
          <w:shd w:val="clear" w:color="auto" w:fill="FFFFFF"/>
          <w:lang w:val="en-US" w:eastAsia="zh-CN" w:bidi="ar"/>
        </w:rPr>
      </w:pPr>
      <w:r>
        <w:rPr>
          <w:rFonts w:hint="eastAsia" w:ascii="微软雅黑" w:hAnsi="微软雅黑" w:eastAsia="微软雅黑" w:cs="Times New Roman"/>
          <w:b w:val="0"/>
          <w:bCs/>
          <w:spacing w:val="0"/>
          <w:sz w:val="24"/>
          <w:szCs w:val="24"/>
          <w:lang w:val="en-US" w:eastAsia="zh-CN"/>
        </w:rPr>
        <w:t>1</w:t>
      </w:r>
      <w:r>
        <w:rPr>
          <w:rFonts w:hint="eastAsia" w:ascii="宋体" w:hAnsi="宋体" w:eastAsia="宋体" w:cs="宋体"/>
          <w:i w:val="0"/>
          <w:iCs w:val="0"/>
          <w:caps w:val="0"/>
          <w:spacing w:val="0"/>
          <w:kern w:val="0"/>
          <w:sz w:val="24"/>
          <w:szCs w:val="24"/>
          <w:shd w:val="clear" w:color="auto" w:fill="FFFFFF"/>
          <w:lang w:val="en-US" w:eastAsia="zh-CN" w:bidi="ar"/>
        </w:rPr>
        <w:t>）适用于珠海科域KU-F20</w:t>
      </w:r>
      <w:r>
        <w:rPr>
          <w:rFonts w:hint="eastAsia"/>
          <w:sz w:val="32"/>
          <w:szCs w:val="32"/>
        </w:rPr>
        <w:t>粪便常规仪</w:t>
      </w:r>
      <w:r>
        <w:rPr>
          <w:rFonts w:hint="eastAsia" w:ascii="宋体" w:hAnsi="宋体" w:eastAsia="宋体" w:cs="宋体"/>
          <w:i w:val="0"/>
          <w:iCs w:val="0"/>
          <w:caps w:val="0"/>
          <w:spacing w:val="0"/>
          <w:kern w:val="0"/>
          <w:sz w:val="24"/>
          <w:szCs w:val="24"/>
          <w:shd w:val="clear" w:color="auto" w:fill="FFFFFF"/>
          <w:lang w:val="en-US" w:eastAsia="zh-CN" w:bidi="ar"/>
        </w:rPr>
        <w:t>试剂与耗材，且与仪器配套使用时应保证检测结果的准确性和稳定性。</w:t>
      </w:r>
    </w:p>
    <w:p w14:paraId="54E1EF5F">
      <w:pPr>
        <w:widowControl/>
        <w:ind w:firstLine="480" w:firstLineChars="200"/>
        <w:rPr>
          <w:rFonts w:hint="eastAsia" w:ascii="宋体" w:hAnsi="宋体" w:eastAsia="宋体" w:cs="宋体"/>
          <w:i w:val="0"/>
          <w:iCs w:val="0"/>
          <w:caps w:val="0"/>
          <w:spacing w:val="0"/>
          <w:kern w:val="0"/>
          <w:sz w:val="24"/>
          <w:szCs w:val="24"/>
          <w:shd w:val="clear" w:color="auto" w:fill="FFFFFF"/>
          <w:lang w:val="en-US" w:eastAsia="zh-CN" w:bidi="ar"/>
        </w:rPr>
      </w:pPr>
      <w:r>
        <w:rPr>
          <w:rFonts w:hint="eastAsia" w:ascii="宋体" w:hAnsi="宋体" w:eastAsia="宋体" w:cs="宋体"/>
          <w:i w:val="0"/>
          <w:iCs w:val="0"/>
          <w:caps w:val="0"/>
          <w:spacing w:val="0"/>
          <w:kern w:val="0"/>
          <w:sz w:val="24"/>
          <w:szCs w:val="24"/>
          <w:shd w:val="clear" w:color="auto" w:fill="FFFFFF"/>
          <w:lang w:val="en-US" w:eastAsia="zh-CN" w:bidi="ar"/>
        </w:rPr>
        <w:t>2）试剂包装以人份数包装便于检测和保存。</w:t>
      </w:r>
    </w:p>
    <w:p w14:paraId="16769078">
      <w:pPr>
        <w:pStyle w:val="5"/>
        <w:numPr>
          <w:ilvl w:val="0"/>
          <w:numId w:val="0"/>
        </w:numPr>
        <w:snapToGrid w:val="0"/>
        <w:ind w:leftChars="0"/>
        <w:rPr>
          <w:rFonts w:ascii="微软雅黑" w:hAnsi="微软雅黑" w:eastAsia="微软雅黑"/>
          <w:spacing w:val="0"/>
          <w:sz w:val="24"/>
          <w:szCs w:val="24"/>
        </w:rPr>
      </w:pPr>
      <w:r>
        <w:rPr>
          <w:rFonts w:hint="eastAsia" w:ascii="微软雅黑" w:hAnsi="微软雅黑" w:eastAsia="微软雅黑"/>
          <w:spacing w:val="0"/>
          <w:sz w:val="24"/>
          <w:szCs w:val="24"/>
          <w:lang w:val="en-US" w:eastAsia="zh-CN"/>
        </w:rPr>
        <w:t>二、必要参数</w:t>
      </w:r>
    </w:p>
    <w:p w14:paraId="1D021AAD">
      <w:pPr>
        <w:widowControl/>
        <w:ind w:firstLine="482" w:firstLineChars="200"/>
        <w:rPr>
          <w:rFonts w:hint="eastAsia" w:ascii="宋体" w:hAnsi="宋体" w:eastAsia="宋体" w:cs="宋体"/>
          <w:b/>
          <w:bCs/>
          <w:i w:val="0"/>
          <w:iCs w:val="0"/>
          <w:caps w:val="0"/>
          <w:spacing w:val="0"/>
          <w:kern w:val="0"/>
          <w:sz w:val="24"/>
          <w:szCs w:val="24"/>
          <w:shd w:val="clear" w:color="auto" w:fill="FFFFFF"/>
          <w:lang w:val="en-US" w:eastAsia="zh-CN" w:bidi="ar"/>
        </w:rPr>
      </w:pPr>
      <w:r>
        <w:rPr>
          <w:rFonts w:hint="eastAsia" w:ascii="宋体" w:hAnsi="宋体" w:eastAsia="宋体" w:cs="宋体"/>
          <w:b/>
          <w:bCs/>
          <w:i w:val="0"/>
          <w:iCs w:val="0"/>
          <w:caps w:val="0"/>
          <w:spacing w:val="0"/>
          <w:kern w:val="0"/>
          <w:sz w:val="24"/>
          <w:szCs w:val="24"/>
          <w:shd w:val="clear" w:color="auto" w:fill="FFFFFF"/>
          <w:lang w:val="en-US" w:eastAsia="zh-CN" w:bidi="ar"/>
        </w:rPr>
        <w:t>1、</w:t>
      </w:r>
      <w:r>
        <w:rPr>
          <w:rFonts w:hint="eastAsia" w:ascii="宋体" w:hAnsi="宋体" w:eastAsia="宋体" w:cs="宋体"/>
          <w:i w:val="0"/>
          <w:iCs w:val="0"/>
          <w:color w:val="000000"/>
          <w:kern w:val="0"/>
          <w:sz w:val="24"/>
          <w:szCs w:val="24"/>
          <w:u w:val="none"/>
          <w:lang w:val="en-US" w:eastAsia="zh-CN" w:bidi="ar"/>
        </w:rPr>
        <w:t>大便隐血(FOB）检测试剂盒(胶体金法)</w:t>
      </w:r>
    </w:p>
    <w:p w14:paraId="242BC2D5">
      <w:pPr>
        <w:widowControl/>
        <w:ind w:firstLine="480" w:firstLineChars="200"/>
        <w:rPr>
          <w:rFonts w:hint="eastAsia" w:ascii="宋体" w:hAnsi="宋体" w:eastAsia="宋体" w:cs="宋体"/>
          <w:b w:val="0"/>
          <w:bCs w:val="0"/>
          <w:i w:val="0"/>
          <w:iCs w:val="0"/>
          <w:caps w:val="0"/>
          <w:spacing w:val="0"/>
          <w:kern w:val="0"/>
          <w:sz w:val="24"/>
          <w:szCs w:val="24"/>
          <w:shd w:val="clear" w:color="auto" w:fill="FFFFFF"/>
          <w:lang w:val="en-US" w:eastAsia="zh-CN" w:bidi="ar"/>
        </w:rPr>
      </w:pPr>
      <w:r>
        <w:rPr>
          <w:rFonts w:hint="eastAsia" w:ascii="宋体" w:hAnsi="宋体" w:eastAsia="宋体" w:cs="宋体"/>
          <w:i w:val="0"/>
          <w:iCs w:val="0"/>
          <w:caps w:val="0"/>
          <w:spacing w:val="0"/>
          <w:sz w:val="24"/>
          <w:szCs w:val="24"/>
        </w:rPr>
        <w:t>储存条件及有效期</w:t>
      </w:r>
      <w:r>
        <w:rPr>
          <w:rFonts w:hint="eastAsia" w:ascii="宋体" w:hAnsi="宋体" w:eastAsia="宋体" w:cs="宋体"/>
          <w:i w:val="0"/>
          <w:iCs w:val="0"/>
          <w:caps w:val="0"/>
          <w:spacing w:val="0"/>
          <w:sz w:val="24"/>
          <w:szCs w:val="24"/>
          <w:lang w:eastAsia="zh-CN"/>
        </w:rPr>
        <w:t>：</w:t>
      </w:r>
      <w:r>
        <w:rPr>
          <w:rFonts w:hint="eastAsia" w:ascii="宋体" w:hAnsi="宋体" w:eastAsia="宋体" w:cs="宋体"/>
          <w:i w:val="0"/>
          <w:iCs w:val="0"/>
          <w:caps w:val="0"/>
          <w:spacing w:val="0"/>
          <w:sz w:val="24"/>
          <w:szCs w:val="24"/>
        </w:rPr>
        <w:t>4</w:t>
      </w:r>
      <w:r>
        <w:rPr>
          <w:rFonts w:hint="eastAsia" w:ascii="宋体" w:hAnsi="宋体" w:eastAsia="宋体" w:cs="宋体"/>
          <w:i w:val="0"/>
          <w:iCs w:val="0"/>
          <w:caps w:val="0"/>
          <w:spacing w:val="0"/>
          <w:sz w:val="24"/>
          <w:szCs w:val="24"/>
          <w:lang w:val="en-US" w:eastAsia="zh-CN"/>
        </w:rPr>
        <w:t>-</w:t>
      </w:r>
      <w:r>
        <w:rPr>
          <w:rFonts w:hint="eastAsia" w:ascii="宋体" w:hAnsi="宋体" w:eastAsia="宋体" w:cs="宋体"/>
          <w:i w:val="0"/>
          <w:iCs w:val="0"/>
          <w:caps w:val="0"/>
          <w:spacing w:val="0"/>
          <w:sz w:val="24"/>
          <w:szCs w:val="24"/>
        </w:rPr>
        <w:t>30℃,密封干燥保存，有效期24个月。</w:t>
      </w:r>
      <w:r>
        <w:rPr>
          <w:rFonts w:hint="eastAsia" w:ascii="宋体" w:hAnsi="宋体" w:eastAsia="宋体" w:cs="宋体"/>
          <w:b w:val="0"/>
          <w:bCs w:val="0"/>
          <w:i w:val="0"/>
          <w:iCs w:val="0"/>
          <w:caps w:val="0"/>
          <w:spacing w:val="0"/>
          <w:kern w:val="0"/>
          <w:sz w:val="24"/>
          <w:szCs w:val="24"/>
          <w:shd w:val="clear" w:color="auto" w:fill="FFFFFF"/>
          <w:lang w:val="en-US" w:eastAsia="zh-CN" w:bidi="ar"/>
        </w:rPr>
        <w:t>；利用免疫胶体金技术，用双抗体夹心法，</w:t>
      </w:r>
      <w:r>
        <w:rPr>
          <w:rFonts w:hint="eastAsia" w:ascii="宋体" w:hAnsi="宋体" w:eastAsia="宋体" w:cs="宋体"/>
          <w:i w:val="0"/>
          <w:iCs w:val="0"/>
          <w:caps w:val="0"/>
          <w:spacing w:val="0"/>
          <w:sz w:val="24"/>
          <w:szCs w:val="24"/>
        </w:rPr>
        <w:t>Hbl单克隆抗体</w:t>
      </w:r>
      <w:r>
        <w:rPr>
          <w:rFonts w:hint="eastAsia" w:ascii="宋体" w:hAnsi="宋体" w:eastAsia="宋体" w:cs="宋体"/>
          <w:i w:val="0"/>
          <w:iCs w:val="0"/>
          <w:caps w:val="0"/>
          <w:spacing w:val="0"/>
          <w:sz w:val="24"/>
          <w:szCs w:val="24"/>
          <w:lang w:eastAsia="zh-CN"/>
        </w:rPr>
        <w:t>，</w:t>
      </w:r>
      <w:r>
        <w:rPr>
          <w:rFonts w:hint="eastAsia" w:ascii="宋体" w:hAnsi="宋体" w:eastAsia="宋体" w:cs="宋体"/>
          <w:i w:val="0"/>
          <w:iCs w:val="0"/>
          <w:caps w:val="0"/>
          <w:spacing w:val="0"/>
          <w:sz w:val="24"/>
          <w:szCs w:val="24"/>
        </w:rPr>
        <w:t>抗鼠IgG多克隆抗体应重测</w:t>
      </w:r>
      <w:r>
        <w:rPr>
          <w:rFonts w:hint="eastAsia" w:ascii="宋体" w:hAnsi="宋体" w:eastAsia="宋体" w:cs="宋体"/>
          <w:i w:val="0"/>
          <w:iCs w:val="0"/>
          <w:caps w:val="0"/>
          <w:spacing w:val="0"/>
          <w:sz w:val="24"/>
          <w:szCs w:val="24"/>
          <w:lang w:eastAsia="zh-CN"/>
        </w:rPr>
        <w:t>，</w:t>
      </w:r>
      <w:r>
        <w:rPr>
          <w:rFonts w:hint="eastAsia" w:ascii="宋体" w:hAnsi="宋体" w:eastAsia="宋体" w:cs="宋体"/>
          <w:i w:val="0"/>
          <w:iCs w:val="0"/>
          <w:caps w:val="0"/>
          <w:spacing w:val="0"/>
          <w:sz w:val="24"/>
          <w:szCs w:val="24"/>
        </w:rPr>
        <w:t>胶体金标记的Hb2单克隆抗体</w:t>
      </w:r>
      <w:r>
        <w:rPr>
          <w:rFonts w:hint="eastAsia" w:ascii="宋体" w:hAnsi="宋体" w:eastAsia="宋体" w:cs="宋体"/>
          <w:i w:val="0"/>
          <w:iCs w:val="0"/>
          <w:caps w:val="0"/>
          <w:spacing w:val="0"/>
          <w:sz w:val="24"/>
          <w:szCs w:val="24"/>
          <w:lang w:eastAsia="zh-CN"/>
        </w:rPr>
        <w:t>，</w:t>
      </w:r>
      <w:r>
        <w:rPr>
          <w:rFonts w:hint="eastAsia" w:ascii="宋体" w:hAnsi="宋体" w:eastAsia="宋体" w:cs="宋体"/>
          <w:i w:val="0"/>
          <w:iCs w:val="0"/>
          <w:caps w:val="0"/>
          <w:spacing w:val="0"/>
          <w:sz w:val="24"/>
          <w:szCs w:val="24"/>
        </w:rPr>
        <w:t>硝酸纤维膜、玻璃纤维膜等试纸条支持物</w:t>
      </w:r>
      <w:r>
        <w:rPr>
          <w:rFonts w:hint="eastAsia" w:ascii="宋体" w:hAnsi="宋体" w:eastAsia="宋体" w:cs="宋体"/>
          <w:i w:val="0"/>
          <w:iCs w:val="0"/>
          <w:caps w:val="0"/>
          <w:spacing w:val="0"/>
          <w:sz w:val="24"/>
          <w:szCs w:val="24"/>
          <w:lang w:eastAsia="zh-CN"/>
        </w:rPr>
        <w:t>；</w:t>
      </w:r>
      <w:r>
        <w:rPr>
          <w:rFonts w:hint="eastAsia" w:ascii="宋体" w:hAnsi="宋体" w:eastAsia="宋体" w:cs="宋体"/>
          <w:b w:val="0"/>
          <w:bCs w:val="0"/>
          <w:i w:val="0"/>
          <w:iCs w:val="0"/>
          <w:caps w:val="0"/>
          <w:spacing w:val="0"/>
          <w:kern w:val="0"/>
          <w:sz w:val="24"/>
          <w:szCs w:val="24"/>
          <w:shd w:val="clear" w:color="auto" w:fill="FFFFFF"/>
          <w:lang w:val="en-US" w:eastAsia="zh-CN" w:bidi="ar"/>
        </w:rPr>
        <w:t>观察结果时间：3-5分钟判读结果。≧100ng/ml将判读为阳性。</w:t>
      </w:r>
    </w:p>
    <w:p w14:paraId="18E2525C">
      <w:pPr>
        <w:widowControl/>
        <w:numPr>
          <w:ilvl w:val="0"/>
          <w:numId w:val="1"/>
        </w:numPr>
        <w:ind w:firstLine="480" w:firstLineChars="200"/>
        <w:rPr>
          <w:rFonts w:hint="eastAsia" w:ascii="宋体" w:hAnsi="宋体" w:eastAsia="宋体" w:cs="宋体"/>
          <w:b w:val="0"/>
          <w:bCs w:val="0"/>
          <w:i w:val="0"/>
          <w:iCs w:val="0"/>
          <w:caps w:val="0"/>
          <w:spacing w:val="0"/>
          <w:kern w:val="0"/>
          <w:sz w:val="24"/>
          <w:szCs w:val="24"/>
          <w:shd w:val="clear" w:color="auto" w:fill="FFFFFF"/>
          <w:lang w:val="en-US" w:eastAsia="zh-CN" w:bidi="ar"/>
        </w:rPr>
      </w:pPr>
      <w:r>
        <w:rPr>
          <w:rFonts w:hint="eastAsia" w:ascii="宋体" w:hAnsi="宋体" w:eastAsia="宋体" w:cs="宋体"/>
          <w:b w:val="0"/>
          <w:bCs w:val="0"/>
          <w:i w:val="0"/>
          <w:iCs w:val="0"/>
          <w:caps w:val="0"/>
          <w:spacing w:val="0"/>
          <w:kern w:val="0"/>
          <w:sz w:val="24"/>
          <w:szCs w:val="24"/>
          <w:shd w:val="clear" w:color="auto" w:fill="FFFFFF"/>
          <w:lang w:val="en-US" w:eastAsia="zh-CN" w:bidi="ar"/>
        </w:rPr>
        <w:t>A群轮状病毒</w:t>
      </w:r>
      <w:r>
        <w:rPr>
          <w:rFonts w:hint="eastAsia" w:ascii="宋体" w:hAnsi="宋体" w:eastAsia="宋体" w:cs="宋体"/>
          <w:i w:val="0"/>
          <w:iCs w:val="0"/>
          <w:caps w:val="0"/>
          <w:spacing w:val="0"/>
          <w:sz w:val="24"/>
          <w:szCs w:val="24"/>
        </w:rPr>
        <w:t>试剂盒用</w:t>
      </w:r>
    </w:p>
    <w:p w14:paraId="711FA857">
      <w:pPr>
        <w:widowControl/>
        <w:numPr>
          <w:ilvl w:val="0"/>
          <w:numId w:val="0"/>
        </w:numPr>
        <w:ind w:firstLine="480" w:firstLineChars="200"/>
        <w:rPr>
          <w:rFonts w:hint="eastAsia" w:ascii="宋体" w:hAnsi="宋体" w:eastAsia="宋体" w:cs="宋体"/>
          <w:b w:val="0"/>
          <w:bCs w:val="0"/>
          <w:i w:val="0"/>
          <w:iCs w:val="0"/>
          <w:caps w:val="0"/>
          <w:spacing w:val="0"/>
          <w:kern w:val="0"/>
          <w:sz w:val="24"/>
          <w:szCs w:val="24"/>
          <w:shd w:val="clear" w:color="auto" w:fill="FFFFFF"/>
          <w:lang w:val="en-US" w:eastAsia="zh-CN" w:bidi="ar"/>
        </w:rPr>
      </w:pPr>
      <w:r>
        <w:rPr>
          <w:rFonts w:hint="eastAsia" w:ascii="宋体" w:hAnsi="宋体" w:eastAsia="宋体" w:cs="宋体"/>
          <w:i w:val="0"/>
          <w:iCs w:val="0"/>
          <w:caps w:val="0"/>
          <w:spacing w:val="0"/>
          <w:sz w:val="24"/>
          <w:szCs w:val="24"/>
        </w:rPr>
        <w:t>用于体外定性检测人粪便中的A群轮状病毒抗原。适用于A群轮状病毒感染的辅助诊断。采用基于双抗体夹心法原理的胶体金免疫层析技术测定定粪便样本中A群轮状病毒抗原。4</w:t>
      </w:r>
      <w:r>
        <w:rPr>
          <w:rFonts w:hint="eastAsia" w:ascii="宋体" w:hAnsi="宋体" w:eastAsia="宋体" w:cs="宋体"/>
          <w:i w:val="0"/>
          <w:iCs w:val="0"/>
          <w:caps w:val="0"/>
          <w:spacing w:val="0"/>
          <w:sz w:val="24"/>
          <w:szCs w:val="24"/>
          <w:lang w:val="en-US" w:eastAsia="zh-CN"/>
        </w:rPr>
        <w:t>-</w:t>
      </w:r>
      <w:r>
        <w:rPr>
          <w:rFonts w:hint="eastAsia" w:ascii="宋体" w:hAnsi="宋体" w:eastAsia="宋体" w:cs="宋体"/>
          <w:i w:val="0"/>
          <w:iCs w:val="0"/>
          <w:caps w:val="0"/>
          <w:spacing w:val="0"/>
          <w:sz w:val="24"/>
          <w:szCs w:val="24"/>
        </w:rPr>
        <w:t>30℃</w:t>
      </w:r>
      <w:r>
        <w:rPr>
          <w:rFonts w:hint="eastAsia" w:ascii="宋体" w:hAnsi="宋体" w:eastAsia="宋体" w:cs="宋体"/>
          <w:b w:val="0"/>
          <w:bCs w:val="0"/>
          <w:i w:val="0"/>
          <w:iCs w:val="0"/>
          <w:caps w:val="0"/>
          <w:spacing w:val="0"/>
          <w:kern w:val="0"/>
          <w:sz w:val="24"/>
          <w:szCs w:val="24"/>
          <w:shd w:val="clear" w:color="auto" w:fill="FFFFFF"/>
          <w:lang w:val="en-US" w:eastAsia="zh-CN" w:bidi="ar"/>
        </w:rPr>
        <w:t>阴凉避光干燥处储存，有效期12个月。</w:t>
      </w:r>
    </w:p>
    <w:p w14:paraId="69FA33DF">
      <w:pPr>
        <w:widowControl/>
        <w:numPr>
          <w:ilvl w:val="0"/>
          <w:numId w:val="0"/>
        </w:numPr>
        <w:ind w:firstLine="480" w:firstLineChars="200"/>
        <w:rPr>
          <w:rFonts w:hint="eastAsia" w:ascii="宋体" w:hAnsi="宋体" w:eastAsia="宋体" w:cs="宋体"/>
          <w:b w:val="0"/>
          <w:bCs w:val="0"/>
          <w:i w:val="0"/>
          <w:iCs w:val="0"/>
          <w:caps w:val="0"/>
          <w:spacing w:val="0"/>
          <w:kern w:val="0"/>
          <w:sz w:val="24"/>
          <w:szCs w:val="24"/>
          <w:shd w:val="clear" w:color="auto" w:fill="FFFFFF"/>
          <w:lang w:val="en-US" w:eastAsia="zh-CN" w:bidi="ar"/>
        </w:rPr>
      </w:pPr>
      <w:r>
        <w:rPr>
          <w:rFonts w:hint="eastAsia" w:ascii="宋体" w:hAnsi="宋体" w:eastAsia="宋体" w:cs="宋体"/>
          <w:b w:val="0"/>
          <w:bCs w:val="0"/>
          <w:i w:val="0"/>
          <w:iCs w:val="0"/>
          <w:caps w:val="0"/>
          <w:spacing w:val="0"/>
          <w:kern w:val="0"/>
          <w:sz w:val="24"/>
          <w:szCs w:val="24"/>
          <w:shd w:val="clear" w:color="auto" w:fill="FFFFFF"/>
          <w:lang w:val="en-US" w:eastAsia="zh-CN" w:bidi="ar"/>
        </w:rPr>
        <w:t>阴性参考品符合率：检测国家参考品或企业阴性参考品N1-N10,检测结果应均为阴性，符合率应为100%。阳性参考品符合率：检测国家参考品或企业阳性参考品RP1-RP8,检测结果应均为阳性，符合率应为100%。最低检测限：检测国家参考品，稀释终点应不低于1:16倍稀释。</w:t>
      </w:r>
    </w:p>
    <w:p w14:paraId="1C412CB3">
      <w:pPr>
        <w:widowControl/>
        <w:numPr>
          <w:ilvl w:val="0"/>
          <w:numId w:val="1"/>
        </w:numPr>
        <w:ind w:left="0" w:leftChars="0" w:firstLine="480" w:firstLineChars="20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标本收集杯（非医疗器械，暂无参数）。</w:t>
      </w:r>
    </w:p>
    <w:p w14:paraId="785C178C">
      <w:pPr>
        <w:widowControl/>
        <w:numPr>
          <w:ilvl w:val="0"/>
          <w:numId w:val="1"/>
        </w:numPr>
        <w:ind w:left="0" w:leftChars="0" w:firstLine="480" w:firstLineChars="20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样本稀释液 （非医疗器械，暂无参数）。</w:t>
      </w:r>
    </w:p>
    <w:p w14:paraId="5F00FDF4">
      <w:pPr>
        <w:widowControl/>
        <w:numPr>
          <w:ilvl w:val="0"/>
          <w:numId w:val="1"/>
        </w:numPr>
        <w:ind w:left="0" w:leftChars="0" w:firstLine="480" w:firstLineChars="20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粪便分析仪清洗液（非医疗器械，暂无参数）。</w:t>
      </w:r>
    </w:p>
    <w:p w14:paraId="03DA98D0">
      <w:pPr>
        <w:widowControl/>
        <w:numPr>
          <w:ilvl w:val="0"/>
          <w:numId w:val="1"/>
        </w:numPr>
        <w:ind w:left="0" w:leftChars="0" w:firstLine="480" w:firstLineChars="20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粪便分析仪浓缩清洗液（非医疗器械，暂无参数）。</w:t>
      </w:r>
    </w:p>
    <w:p w14:paraId="38DD7C2B">
      <w:pPr>
        <w:widowControl/>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7682DA29">
      <w:pPr>
        <w:widowControl/>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2711CD69">
      <w:pPr>
        <w:widowControl/>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7728A69F">
      <w:pPr>
        <w:widowControl/>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5E9FCC50">
      <w:pPr>
        <w:widowControl/>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33B4CB26">
      <w:pPr>
        <w:widowControl/>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07172158">
      <w:pPr>
        <w:widowControl/>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77A89B0E">
      <w:pPr>
        <w:widowControl/>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1463917F">
      <w:pPr>
        <w:widowControl/>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35501867">
      <w:pPr>
        <w:widowControl/>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081CFB81">
      <w:pPr>
        <w:widowControl/>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58F629E8">
      <w:pPr>
        <w:widowControl/>
        <w:numPr>
          <w:ilvl w:val="0"/>
          <w:numId w:val="0"/>
        </w:numPr>
        <w:jc w:val="both"/>
        <w:rPr>
          <w:rFonts w:hint="eastAsia" w:ascii="宋体" w:hAnsi="宋体" w:eastAsia="宋体" w:cs="宋体"/>
          <w:i w:val="0"/>
          <w:iCs w:val="0"/>
          <w:color w:val="000000"/>
          <w:kern w:val="0"/>
          <w:sz w:val="24"/>
          <w:szCs w:val="24"/>
          <w:u w:val="none"/>
          <w:lang w:val="en-US" w:eastAsia="zh-CN" w:bidi="ar"/>
        </w:rPr>
      </w:pPr>
    </w:p>
    <w:p w14:paraId="755A8ACD">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5B13D"/>
    <w:multiLevelType w:val="singleLevel"/>
    <w:tmpl w:val="E8A5B1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96FAB"/>
    <w:rsid w:val="0E0A46A8"/>
    <w:rsid w:val="13585D28"/>
    <w:rsid w:val="1C83508D"/>
    <w:rsid w:val="24F54377"/>
    <w:rsid w:val="288D1C4D"/>
    <w:rsid w:val="363A3100"/>
    <w:rsid w:val="36A908C4"/>
    <w:rsid w:val="386B1DE3"/>
    <w:rsid w:val="56C119A3"/>
    <w:rsid w:val="7CE0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5">
    <w:name w:val="List Paragraph"/>
    <w:basedOn w:val="1"/>
    <w:qFormat/>
    <w:uiPriority w:val="34"/>
    <w:pPr>
      <w:ind w:firstLine="420" w:firstLineChars="200"/>
    </w:pPr>
    <w:rPr>
      <w:rFonts w:ascii="楷体_GB2312" w:eastAsia="楷体_GB2312"/>
      <w:b/>
      <w:spacing w:val="-30"/>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532</Words>
  <Characters>585</Characters>
  <Lines>0</Lines>
  <Paragraphs>0</Paragraphs>
  <TotalTime>10</TotalTime>
  <ScaleCrop>false</ScaleCrop>
  <LinksUpToDate>false</LinksUpToDate>
  <CharactersWithSpaces>586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2026-02-27T02:17:00Z</dcterms:created>
  <dc:creator>Administrator</dc:creator>
  <cp:lastModifiedBy>霖</cp:lastModifiedBy>
  <dcterms:modified xsi:type="dcterms:W3CDTF">2026-06-03T02:52:39Z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eyJoZGlkIjoiOWI2NDg1ZmQ3ZTA3MmM1NDkzNzAwZGY2OGMxNjg2OTUiLCJ1c2VySWQiOiI0OTE5MjM0MzEifQ==</vt:lpwstr>
  </property>
  <property fmtid="{D5CDD505-2E9C-101B-9397-08002B2CF9AE}" pid="4" name="ICV">
    <vt:lpwstr>A84AD5EEAA524EC2AAFBF110E913FBEB_12</vt:lpwstr>
  </property>
</Properties>
</file>